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9D899" w14:textId="49E539E4" w:rsidR="001745DE" w:rsidRDefault="001745DE">
      <w:bookmarkStart w:id="0" w:name="_GoBack"/>
      <w:bookmarkEnd w:id="0"/>
    </w:p>
    <w:tbl>
      <w:tblPr>
        <w:tblStyle w:val="a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2520"/>
        <w:gridCol w:w="2520"/>
      </w:tblGrid>
      <w:tr w:rsidR="001745DE" w14:paraId="6B4418AB" w14:textId="77777777">
        <w:trPr>
          <w:trHeight w:val="42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720DA" w14:textId="3C685485" w:rsidR="001745DE" w:rsidRDefault="00E51C12">
            <w:pPr>
              <w:widowControl w:val="0"/>
              <w:spacing w:line="240" w:lineRule="auto"/>
              <w:jc w:val="center"/>
              <w:rPr>
                <w:color w:val="980000"/>
                <w:sz w:val="48"/>
                <w:szCs w:val="48"/>
              </w:rPr>
            </w:pPr>
            <w:r>
              <w:rPr>
                <w:color w:val="980000"/>
                <w:sz w:val="48"/>
                <w:szCs w:val="48"/>
              </w:rPr>
              <w:t>Fundamental</w:t>
            </w:r>
            <w:r w:rsidR="00746DFD">
              <w:rPr>
                <w:color w:val="980000"/>
                <w:sz w:val="48"/>
                <w:szCs w:val="48"/>
              </w:rPr>
              <w:t xml:space="preserve"> Research Works for Canadians</w:t>
            </w:r>
          </w:p>
        </w:tc>
      </w:tr>
      <w:tr w:rsidR="001745DE" w14:paraId="24C79ACD" w14:textId="77777777">
        <w:trPr>
          <w:trHeight w:val="420"/>
        </w:trPr>
        <w:tc>
          <w:tcPr>
            <w:tcW w:w="504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35148" w14:textId="716EA529" w:rsidR="001745DE" w:rsidRDefault="00F30640" w:rsidP="00C2277D">
            <w:pPr>
              <w:numPr>
                <w:ilvl w:val="0"/>
                <w:numId w:val="2"/>
              </w:numPr>
              <w:spacing w:after="40" w:line="240" w:lineRule="auto"/>
              <w:ind w:left="340" w:hanging="357"/>
            </w:pPr>
            <w:r>
              <w:rPr>
                <w:b/>
              </w:rPr>
              <w:t>Fundamental</w:t>
            </w:r>
            <w:r w:rsidR="00746DFD">
              <w:rPr>
                <w:b/>
              </w:rPr>
              <w:t xml:space="preserve"> research is a major employer in </w:t>
            </w:r>
            <w:r w:rsidR="00746DFD" w:rsidRPr="00D15555">
              <w:rPr>
                <w:b/>
                <w:highlight w:val="lightGray"/>
              </w:rPr>
              <w:t>full riding name or abbreviation</w:t>
            </w:r>
            <w:r w:rsidR="00746DFD">
              <w:t xml:space="preserve">. Salaries of highly qualified staff and students </w:t>
            </w:r>
            <w:r w:rsidR="008451D3">
              <w:t>are major</w:t>
            </w:r>
            <w:r w:rsidR="00746DFD">
              <w:t xml:space="preserve"> </w:t>
            </w:r>
            <w:r w:rsidR="008451D3">
              <w:t>line items in</w:t>
            </w:r>
            <w:r w:rsidR="00746DFD">
              <w:t xml:space="preserve"> research budgets.</w:t>
            </w:r>
            <w:r w:rsidR="008451D3">
              <w:rPr>
                <w:vertAlign w:val="superscript"/>
              </w:rPr>
              <w:t>1</w:t>
            </w:r>
            <w:r w:rsidR="00746DFD">
              <w:t xml:space="preserve"> </w:t>
            </w:r>
            <w:r>
              <w:t>Fundamental</w:t>
            </w:r>
            <w:r w:rsidR="00746DFD">
              <w:t xml:space="preserve"> research funding directly employs </w:t>
            </w:r>
            <w:r w:rsidR="00D649C5">
              <w:t xml:space="preserve">tens of </w:t>
            </w:r>
            <w:r w:rsidR="00746DFD">
              <w:t xml:space="preserve">thousands of people in good, middle-class jobs and provides students with a reliable path to join the middle class. In </w:t>
            </w:r>
            <w:r w:rsidR="00746DFD" w:rsidRPr="00D15555">
              <w:rPr>
                <w:highlight w:val="lightGray"/>
              </w:rPr>
              <w:t>my one lab/our [count] labs</w:t>
            </w:r>
            <w:r w:rsidR="00746DFD">
              <w:t xml:space="preserve"> alone, </w:t>
            </w:r>
            <w:r w:rsidR="00746DFD" w:rsidRPr="00D15555">
              <w:rPr>
                <w:highlight w:val="lightGray"/>
              </w:rPr>
              <w:t>I/we</w:t>
            </w:r>
            <w:r w:rsidR="00746DFD">
              <w:t xml:space="preserve"> employ:</w:t>
            </w:r>
            <w:r w:rsidR="00746DFD">
              <w:br/>
            </w:r>
            <w:r w:rsidR="00746DFD" w:rsidRPr="00D15555">
              <w:rPr>
                <w:highlight w:val="lightGray"/>
              </w:rPr>
              <w:t>###</w:t>
            </w:r>
            <w:r w:rsidR="00746DFD">
              <w:t xml:space="preserve"> technicians or research associates</w:t>
            </w:r>
            <w:r w:rsidR="00746DFD">
              <w:br/>
            </w:r>
            <w:r w:rsidR="00746DFD" w:rsidRPr="00D15555">
              <w:rPr>
                <w:highlight w:val="lightGray"/>
              </w:rPr>
              <w:t>###</w:t>
            </w:r>
            <w:r w:rsidR="00746DFD">
              <w:t xml:space="preserve"> postdoctoral fellows</w:t>
            </w:r>
            <w:r w:rsidR="00746DFD">
              <w:br/>
            </w:r>
            <w:r w:rsidR="00746DFD" w:rsidRPr="00D15555">
              <w:rPr>
                <w:highlight w:val="lightGray"/>
              </w:rPr>
              <w:t>###</w:t>
            </w:r>
            <w:r w:rsidR="00746DFD">
              <w:t xml:space="preserve"> graduate students</w:t>
            </w:r>
            <w:r w:rsidR="00746DFD">
              <w:br/>
            </w:r>
            <w:r w:rsidR="00746DFD" w:rsidRPr="00D15555">
              <w:rPr>
                <w:highlight w:val="lightGray"/>
              </w:rPr>
              <w:t>###</w:t>
            </w:r>
            <w:r w:rsidR="00746DFD">
              <w:t xml:space="preserve"> undergraduate students</w:t>
            </w:r>
          </w:p>
          <w:p w14:paraId="1902060F" w14:textId="72A33523" w:rsidR="001745DE" w:rsidRDefault="00746DFD" w:rsidP="00C2277D">
            <w:pPr>
              <w:numPr>
                <w:ilvl w:val="0"/>
                <w:numId w:val="4"/>
              </w:numPr>
              <w:spacing w:after="40" w:line="240" w:lineRule="auto"/>
              <w:ind w:left="340" w:hanging="357"/>
            </w:pPr>
            <w:r>
              <w:rPr>
                <w:b/>
              </w:rPr>
              <w:t xml:space="preserve">Studies show that </w:t>
            </w:r>
            <w:r w:rsidR="00F30640">
              <w:rPr>
                <w:b/>
              </w:rPr>
              <w:t>fundamental</w:t>
            </w:r>
            <w:r>
              <w:rPr>
                <w:b/>
              </w:rPr>
              <w:t xml:space="preserve"> research helps local </w:t>
            </w:r>
            <w:r w:rsidR="00A13D51">
              <w:rPr>
                <w:b/>
              </w:rPr>
              <w:t>economies</w:t>
            </w:r>
            <w:r>
              <w:rPr>
                <w:b/>
              </w:rPr>
              <w:t xml:space="preserve"> thrive</w:t>
            </w:r>
            <w:r>
              <w:t>.</w:t>
            </w:r>
            <w:r w:rsidR="008451D3">
              <w:rPr>
                <w:vertAlign w:val="superscript"/>
              </w:rPr>
              <w:t>2</w:t>
            </w:r>
            <w:r>
              <w:t xml:space="preserve"> For example, here in </w:t>
            </w:r>
            <w:r w:rsidR="00D15555" w:rsidRPr="00746DFD">
              <w:rPr>
                <w:highlight w:val="lightGray"/>
              </w:rPr>
              <w:t>place name</w:t>
            </w:r>
            <w:r w:rsidRPr="00746DFD">
              <w:rPr>
                <w:highlight w:val="lightGray"/>
              </w:rPr>
              <w:t xml:space="preserve">, </w:t>
            </w:r>
            <w:commentRangeStart w:id="1"/>
            <w:r w:rsidRPr="00746DFD">
              <w:rPr>
                <w:highlight w:val="lightGray"/>
              </w:rPr>
              <w:t>local business name here</w:t>
            </w:r>
            <w:commentRangeEnd w:id="1"/>
            <w:r w:rsidR="006E7C17">
              <w:rPr>
                <w:rStyle w:val="CommentReference"/>
              </w:rPr>
              <w:commentReference w:id="1"/>
            </w:r>
            <w:r>
              <w:t xml:space="preserve"> depends on researchers to buy their products</w:t>
            </w:r>
            <w:r w:rsidR="00344CFD">
              <w:t xml:space="preserve"> and services</w:t>
            </w:r>
            <w:r>
              <w:t>.</w:t>
            </w:r>
          </w:p>
          <w:p w14:paraId="7DAF2B30" w14:textId="4F134679" w:rsidR="001745DE" w:rsidRPr="00303EDB" w:rsidRDefault="00F30640" w:rsidP="00C2277D">
            <w:pPr>
              <w:numPr>
                <w:ilvl w:val="0"/>
                <w:numId w:val="4"/>
              </w:numPr>
              <w:spacing w:after="40" w:line="240" w:lineRule="auto"/>
              <w:ind w:left="340" w:hanging="357"/>
              <w:rPr>
                <w:b/>
              </w:rPr>
            </w:pPr>
            <w:r>
              <w:rPr>
                <w:b/>
              </w:rPr>
              <w:t>Fundamental</w:t>
            </w:r>
            <w:r w:rsidR="00746DFD">
              <w:rPr>
                <w:b/>
              </w:rPr>
              <w:t xml:space="preserve"> research trains the next generation of innovators</w:t>
            </w:r>
            <w:r w:rsidR="00123AD4">
              <w:rPr>
                <w:b/>
              </w:rPr>
              <w:t xml:space="preserve">, </w:t>
            </w:r>
            <w:r w:rsidR="000F251E">
              <w:rPr>
                <w:b/>
              </w:rPr>
              <w:t xml:space="preserve">the engine of </w:t>
            </w:r>
            <w:r w:rsidR="00123AD4">
              <w:rPr>
                <w:b/>
              </w:rPr>
              <w:t xml:space="preserve">a </w:t>
            </w:r>
            <w:r w:rsidR="00123AD4" w:rsidRPr="00123AD4">
              <w:rPr>
                <w:b/>
              </w:rPr>
              <w:t>sustainable, knowledge-based economy</w:t>
            </w:r>
            <w:r w:rsidR="00123AD4">
              <w:rPr>
                <w:b/>
              </w:rPr>
              <w:t xml:space="preserve">. </w:t>
            </w:r>
            <w:r w:rsidR="00746DFD">
              <w:t xml:space="preserve">Federally-funded research helps make it possible for thousands of students at </w:t>
            </w:r>
            <w:r w:rsidR="00746DFD" w:rsidRPr="00123AD4">
              <w:rPr>
                <w:highlight w:val="lightGray"/>
              </w:rPr>
              <w:t>Institutio</w:t>
            </w:r>
            <w:r w:rsidR="009E06F7" w:rsidRPr="00123AD4">
              <w:rPr>
                <w:highlight w:val="lightGray"/>
              </w:rPr>
              <w:t>n name here</w:t>
            </w:r>
            <w:r w:rsidR="00746DFD" w:rsidRPr="00746DFD">
              <w:t xml:space="preserve"> </w:t>
            </w:r>
            <w:r w:rsidR="00746DFD">
              <w:t xml:space="preserve">to acquire skills and knowledge. Our students </w:t>
            </w:r>
            <w:r w:rsidR="000F251E">
              <w:t>become Canada’s doctors, nurses, engineers, entrepreneurs, artists, lawyers, analysts,</w:t>
            </w:r>
            <w:r w:rsidR="000F251E" w:rsidRPr="000F251E">
              <w:t xml:space="preserve"> </w:t>
            </w:r>
            <w:r w:rsidR="000F251E">
              <w:t xml:space="preserve">industry scientists, public sector employees, </w:t>
            </w:r>
            <w:r>
              <w:t>fundamental</w:t>
            </w:r>
            <w:r w:rsidR="000F251E">
              <w:t xml:space="preserve">s, and </w:t>
            </w:r>
            <w:r w:rsidR="005F4EEA">
              <w:t xml:space="preserve">fill </w:t>
            </w:r>
            <w:r w:rsidR="000F251E">
              <w:t xml:space="preserve">many other roles that </w:t>
            </w:r>
            <w:r w:rsidR="00746DFD">
              <w:t>contribute to our economy and society.</w:t>
            </w:r>
          </w:p>
          <w:p w14:paraId="4418C40D" w14:textId="0C91D92E" w:rsidR="001745DE" w:rsidRDefault="00F30640" w:rsidP="00C2277D">
            <w:pPr>
              <w:numPr>
                <w:ilvl w:val="0"/>
                <w:numId w:val="4"/>
              </w:numPr>
              <w:spacing w:after="40" w:line="240" w:lineRule="auto"/>
              <w:ind w:left="340" w:hanging="357"/>
            </w:pPr>
            <w:r>
              <w:rPr>
                <w:b/>
              </w:rPr>
              <w:t>Fundamental</w:t>
            </w:r>
            <w:r w:rsidR="00746DFD">
              <w:rPr>
                <w:b/>
              </w:rPr>
              <w:t xml:space="preserve"> research is a good investment.</w:t>
            </w:r>
            <w:r w:rsidR="00746DFD">
              <w:t xml:space="preserve"> Multiplier effects of </w:t>
            </w:r>
            <w:r>
              <w:t>fundamental</w:t>
            </w:r>
            <w:r w:rsidR="00746DFD">
              <w:t xml:space="preserve"> research and research institutes range from 2.2 to 2.5, meaning that every $1 invested results in $2.20 to $2.50 in direct and indirect economic activity.</w:t>
            </w:r>
            <w:r w:rsidR="009E06F7">
              <w:rPr>
                <w:vertAlign w:val="superscript"/>
              </w:rPr>
              <w:t xml:space="preserve">3,4 </w:t>
            </w:r>
            <w:r w:rsidR="00746DFD">
              <w:t xml:space="preserve">Estimates of the annualized return on </w:t>
            </w:r>
            <w:r>
              <w:t>fundamental</w:t>
            </w:r>
            <w:r w:rsidR="00746DFD">
              <w:t xml:space="preserve"> research investment range from 20% to 67%.</w:t>
            </w:r>
            <w:r w:rsidR="008451D3">
              <w:rPr>
                <w:vertAlign w:val="superscript"/>
              </w:rPr>
              <w:t>3</w:t>
            </w:r>
            <w:r w:rsidR="00746DFD">
              <w:t xml:space="preserve"> Health research has been shown to pay for itself and start saving Canadian health care dollars within as little as 5 years.</w:t>
            </w:r>
            <w:r w:rsidR="008451D3">
              <w:rPr>
                <w:vertAlign w:val="superscript"/>
              </w:rPr>
              <w:t>5</w:t>
            </w:r>
          </w:p>
          <w:p w14:paraId="05260B0E" w14:textId="4AB190AC" w:rsidR="001745DE" w:rsidRDefault="00746DFD" w:rsidP="00F30640">
            <w:pPr>
              <w:numPr>
                <w:ilvl w:val="0"/>
                <w:numId w:val="4"/>
              </w:numPr>
              <w:spacing w:after="120" w:line="240" w:lineRule="auto"/>
              <w:ind w:left="345" w:hanging="360"/>
            </w:pPr>
            <w:r>
              <w:rPr>
                <w:b/>
              </w:rPr>
              <w:t>Canada is falling behind other countries in federal investment in research.</w:t>
            </w:r>
            <w:r>
              <w:t xml:space="preserve"> The Fundamental Science Review Report notes: “... many less wealthy nations are now rapidly expanding their research capacity, while many of our OECD peers are investing heavily in both research and innovation.”</w:t>
            </w:r>
            <w:r w:rsidR="008451D3">
              <w:rPr>
                <w:vertAlign w:val="superscript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2D3E2" w14:textId="77777777" w:rsidR="001745DE" w:rsidRPr="00C2277D" w:rsidRDefault="00746DFD">
            <w:pPr>
              <w:rPr>
                <w:sz w:val="19"/>
                <w:szCs w:val="18"/>
              </w:rPr>
            </w:pPr>
            <w:r w:rsidRPr="00C2277D">
              <w:rPr>
                <w:sz w:val="19"/>
                <w:szCs w:val="18"/>
              </w:rPr>
              <w:t xml:space="preserve">The broadband internet that many Canadians enjoy is thanks to </w:t>
            </w:r>
            <w:r w:rsidRPr="00C2277D">
              <w:rPr>
                <w:b/>
                <w:sz w:val="19"/>
                <w:szCs w:val="18"/>
              </w:rPr>
              <w:t>fundamental research</w:t>
            </w:r>
            <w:r w:rsidRPr="00C2277D">
              <w:rPr>
                <w:sz w:val="19"/>
                <w:szCs w:val="18"/>
              </w:rPr>
              <w:t xml:space="preserve"> in fibre optics. This field of research is now leading to sensors that can better detect problems in bridges or in pipes carrying oil and gas to </w:t>
            </w:r>
            <w:r w:rsidRPr="00C2277D">
              <w:rPr>
                <w:b/>
                <w:sz w:val="19"/>
                <w:szCs w:val="18"/>
              </w:rPr>
              <w:t>keep Canadians safer.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736A0" w14:textId="77777777" w:rsidR="001745DE" w:rsidRPr="00C2277D" w:rsidRDefault="00746DFD">
            <w:pPr>
              <w:rPr>
                <w:sz w:val="19"/>
                <w:szCs w:val="18"/>
              </w:rPr>
            </w:pPr>
            <w:r w:rsidRPr="00C2277D">
              <w:rPr>
                <w:sz w:val="19"/>
                <w:szCs w:val="18"/>
              </w:rPr>
              <w:t xml:space="preserve">Artificial intelligence is now a </w:t>
            </w:r>
            <w:r w:rsidRPr="00C2277D">
              <w:rPr>
                <w:b/>
                <w:sz w:val="19"/>
                <w:szCs w:val="18"/>
              </w:rPr>
              <w:t>growing sector of the Canadian economy</w:t>
            </w:r>
            <w:r w:rsidRPr="00C2277D">
              <w:rPr>
                <w:sz w:val="19"/>
                <w:szCs w:val="18"/>
              </w:rPr>
              <w:t xml:space="preserve"> that may not have existed here if it weren’t for research investments that the government of Canada made decades ago in mathematics, computer science, and other fields.</w:t>
            </w:r>
          </w:p>
        </w:tc>
      </w:tr>
      <w:tr w:rsidR="001745DE" w14:paraId="64CD3A73" w14:textId="77777777">
        <w:trPr>
          <w:trHeight w:val="420"/>
        </w:trPr>
        <w:tc>
          <w:tcPr>
            <w:tcW w:w="50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A7BEC" w14:textId="77777777" w:rsidR="001745DE" w:rsidRDefault="001745DE">
            <w:pPr>
              <w:spacing w:line="240" w:lineRule="auto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0D139" w14:textId="77777777" w:rsidR="001745DE" w:rsidRPr="00C2277D" w:rsidRDefault="00746DFD">
            <w:pPr>
              <w:rPr>
                <w:sz w:val="19"/>
              </w:rPr>
            </w:pPr>
            <w:r w:rsidRPr="00C2277D">
              <w:rPr>
                <w:sz w:val="19"/>
                <w:szCs w:val="18"/>
              </w:rPr>
              <w:t xml:space="preserve">Canadians are more likely to survive a car crash these days partly thanks to materials scientists, who have created materials that absorb more energy in a crash. Researchers in this area continue to develop better and less expensive materials to make </w:t>
            </w:r>
            <w:r w:rsidRPr="00C2277D">
              <w:rPr>
                <w:b/>
                <w:sz w:val="19"/>
                <w:szCs w:val="18"/>
              </w:rPr>
              <w:t>safer</w:t>
            </w:r>
            <w:r w:rsidRPr="00C2277D">
              <w:rPr>
                <w:sz w:val="19"/>
                <w:szCs w:val="18"/>
              </w:rPr>
              <w:t xml:space="preserve"> cars and windows, </w:t>
            </w:r>
            <w:r w:rsidRPr="00C2277D">
              <w:rPr>
                <w:b/>
                <w:sz w:val="19"/>
                <w:szCs w:val="18"/>
              </w:rPr>
              <w:t>better</w:t>
            </w:r>
            <w:r w:rsidRPr="00C2277D">
              <w:rPr>
                <w:sz w:val="19"/>
                <w:szCs w:val="18"/>
              </w:rPr>
              <w:t xml:space="preserve"> medical treatments, </w:t>
            </w:r>
            <w:r w:rsidRPr="00C2277D">
              <w:rPr>
                <w:b/>
                <w:sz w:val="19"/>
                <w:szCs w:val="18"/>
              </w:rPr>
              <w:t>less expensive</w:t>
            </w:r>
            <w:r w:rsidRPr="00C2277D">
              <w:rPr>
                <w:sz w:val="19"/>
                <w:szCs w:val="18"/>
              </w:rPr>
              <w:t xml:space="preserve"> housing materials, </w:t>
            </w:r>
            <w:r w:rsidRPr="00C2277D">
              <w:rPr>
                <w:b/>
                <w:sz w:val="19"/>
                <w:szCs w:val="18"/>
              </w:rPr>
              <w:t>cleaner</w:t>
            </w:r>
            <w:r w:rsidRPr="00C2277D">
              <w:rPr>
                <w:sz w:val="19"/>
                <w:szCs w:val="18"/>
              </w:rPr>
              <w:t xml:space="preserve"> energy, and many </w:t>
            </w:r>
            <w:r w:rsidRPr="00C2277D">
              <w:rPr>
                <w:b/>
                <w:sz w:val="19"/>
                <w:szCs w:val="18"/>
              </w:rPr>
              <w:t>useful</w:t>
            </w:r>
            <w:r w:rsidRPr="00C2277D">
              <w:rPr>
                <w:sz w:val="19"/>
                <w:szCs w:val="18"/>
              </w:rPr>
              <w:t xml:space="preserve"> products.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72BEE" w14:textId="1F5D4654" w:rsidR="001745DE" w:rsidRPr="00C2277D" w:rsidRDefault="00746DFD" w:rsidP="00C2277D">
            <w:pPr>
              <w:rPr>
                <w:sz w:val="19"/>
                <w:szCs w:val="18"/>
              </w:rPr>
            </w:pPr>
            <w:r w:rsidRPr="00C2277D">
              <w:rPr>
                <w:sz w:val="19"/>
                <w:szCs w:val="18"/>
              </w:rPr>
              <w:t xml:space="preserve">Research in Canada led to the discovery of insulin, which has </w:t>
            </w:r>
            <w:r w:rsidRPr="00C2277D">
              <w:rPr>
                <w:b/>
                <w:sz w:val="19"/>
                <w:szCs w:val="18"/>
              </w:rPr>
              <w:t xml:space="preserve">transformed the lives </w:t>
            </w:r>
            <w:r w:rsidRPr="00C2277D">
              <w:rPr>
                <w:sz w:val="19"/>
                <w:szCs w:val="18"/>
              </w:rPr>
              <w:t xml:space="preserve">of people with type 1 diabetes. This type of diabetes, caused by a malfunctioning immune system, used to be a death sentence for children and adults. Health researchers in Canada continue to make advances that </w:t>
            </w:r>
            <w:r w:rsidRPr="00C2277D">
              <w:rPr>
                <w:b/>
                <w:sz w:val="19"/>
                <w:szCs w:val="18"/>
              </w:rPr>
              <w:t>improve the lives of Canadians</w:t>
            </w:r>
            <w:r w:rsidRPr="00C2277D">
              <w:rPr>
                <w:sz w:val="19"/>
                <w:szCs w:val="18"/>
              </w:rPr>
              <w:t xml:space="preserve"> with all types of diabetes.</w:t>
            </w:r>
          </w:p>
        </w:tc>
      </w:tr>
      <w:tr w:rsidR="001745DE" w14:paraId="3D461095" w14:textId="77777777">
        <w:trPr>
          <w:trHeight w:val="420"/>
        </w:trPr>
        <w:tc>
          <w:tcPr>
            <w:tcW w:w="50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84AAF" w14:textId="77777777" w:rsidR="001745DE" w:rsidRDefault="001745D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5ED8B" w14:textId="49075C49" w:rsidR="001745DE" w:rsidRPr="00C2277D" w:rsidRDefault="00746DFD" w:rsidP="00D74879">
            <w:pPr>
              <w:rPr>
                <w:sz w:val="19"/>
                <w:szCs w:val="18"/>
              </w:rPr>
            </w:pPr>
            <w:r w:rsidRPr="00C2277D">
              <w:rPr>
                <w:sz w:val="19"/>
                <w:szCs w:val="18"/>
              </w:rPr>
              <w:t xml:space="preserve">Researchers in the arts and humanities help Canadians find meaning. Canadian researchers and artists developed a play, “Cracked: New Light on Dementia,” whose sold-out shows are helping Canadians </w:t>
            </w:r>
            <w:r w:rsidRPr="00C2277D">
              <w:rPr>
                <w:b/>
                <w:sz w:val="19"/>
                <w:szCs w:val="18"/>
              </w:rPr>
              <w:t>see dementia in a new light,</w:t>
            </w:r>
            <w:r w:rsidRPr="00C2277D">
              <w:rPr>
                <w:sz w:val="19"/>
                <w:szCs w:val="18"/>
              </w:rPr>
              <w:t xml:space="preserve"> </w:t>
            </w:r>
            <w:r w:rsidRPr="00C2277D">
              <w:rPr>
                <w:b/>
                <w:sz w:val="19"/>
                <w:szCs w:val="18"/>
              </w:rPr>
              <w:t xml:space="preserve">and </w:t>
            </w:r>
            <w:r w:rsidR="00D74879" w:rsidRPr="00C2277D">
              <w:rPr>
                <w:b/>
                <w:sz w:val="19"/>
                <w:szCs w:val="18"/>
              </w:rPr>
              <w:t>live</w:t>
            </w:r>
            <w:r w:rsidRPr="00C2277D">
              <w:rPr>
                <w:sz w:val="19"/>
                <w:szCs w:val="18"/>
              </w:rPr>
              <w:t xml:space="preserve"> with their disease or with that of a loved one.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6E2C2" w14:textId="77777777" w:rsidR="001745DE" w:rsidRPr="00C2277D" w:rsidRDefault="00746DFD">
            <w:pPr>
              <w:rPr>
                <w:sz w:val="19"/>
                <w:szCs w:val="18"/>
              </w:rPr>
            </w:pPr>
            <w:r w:rsidRPr="00C2277D">
              <w:rPr>
                <w:sz w:val="19"/>
                <w:szCs w:val="18"/>
              </w:rPr>
              <w:t xml:space="preserve">Fundamental research </w:t>
            </w:r>
            <w:r w:rsidRPr="00C2277D">
              <w:rPr>
                <w:b/>
                <w:sz w:val="19"/>
                <w:szCs w:val="18"/>
              </w:rPr>
              <w:t xml:space="preserve">helps avoid tragedy in Canadian families. </w:t>
            </w:r>
            <w:r w:rsidRPr="00C2277D">
              <w:rPr>
                <w:sz w:val="19"/>
                <w:szCs w:val="18"/>
              </w:rPr>
              <w:t>Basic</w:t>
            </w:r>
            <w:r w:rsidRPr="00C2277D">
              <w:rPr>
                <w:b/>
                <w:sz w:val="19"/>
                <w:szCs w:val="18"/>
              </w:rPr>
              <w:t xml:space="preserve"> </w:t>
            </w:r>
            <w:r w:rsidRPr="00C2277D">
              <w:rPr>
                <w:sz w:val="19"/>
                <w:szCs w:val="18"/>
              </w:rPr>
              <w:t xml:space="preserve">research decades ago has led to </w:t>
            </w:r>
            <w:r w:rsidRPr="00C2277D">
              <w:rPr>
                <w:b/>
                <w:sz w:val="19"/>
                <w:szCs w:val="18"/>
              </w:rPr>
              <w:t>new treatments for cancer</w:t>
            </w:r>
            <w:r w:rsidRPr="00C2277D">
              <w:rPr>
                <w:sz w:val="19"/>
                <w:szCs w:val="18"/>
              </w:rPr>
              <w:t xml:space="preserve"> like immunotherapy. Research in animal models has led to a </w:t>
            </w:r>
            <w:r w:rsidRPr="00C2277D">
              <w:rPr>
                <w:b/>
                <w:sz w:val="19"/>
                <w:szCs w:val="18"/>
              </w:rPr>
              <w:t xml:space="preserve">30% lower risk of death for premature babies </w:t>
            </w:r>
            <w:r w:rsidRPr="00C2277D">
              <w:rPr>
                <w:sz w:val="19"/>
                <w:szCs w:val="18"/>
              </w:rPr>
              <w:t>and a 50% lower risk of developmental delays.</w:t>
            </w:r>
          </w:p>
        </w:tc>
      </w:tr>
      <w:tr w:rsidR="001745DE" w14:paraId="69BD4F74" w14:textId="77777777">
        <w:trPr>
          <w:trHeight w:val="420"/>
        </w:trPr>
        <w:tc>
          <w:tcPr>
            <w:tcW w:w="50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6F161" w14:textId="77777777" w:rsidR="001745DE" w:rsidRDefault="001745DE">
            <w:pPr>
              <w:spacing w:line="240" w:lineRule="auto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6FA7D" w14:textId="77777777" w:rsidR="001745DE" w:rsidRPr="00C2277D" w:rsidRDefault="00746DFD">
            <w:pPr>
              <w:rPr>
                <w:sz w:val="19"/>
              </w:rPr>
            </w:pPr>
            <w:r w:rsidRPr="00C2277D">
              <w:rPr>
                <w:sz w:val="19"/>
                <w:szCs w:val="18"/>
              </w:rPr>
              <w:t xml:space="preserve">In agricultural research, Canada is a world leader in crop development and research on plants that help with ground cover and soil stability. Continued research will help Canada maintain a </w:t>
            </w:r>
            <w:r w:rsidRPr="00C2277D">
              <w:rPr>
                <w:b/>
                <w:sz w:val="19"/>
                <w:szCs w:val="18"/>
              </w:rPr>
              <w:t>safe food supply in a changing environment</w:t>
            </w:r>
            <w:r w:rsidRPr="00C2277D">
              <w:rPr>
                <w:sz w:val="19"/>
                <w:szCs w:val="18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48EF7" w14:textId="77777777" w:rsidR="001745DE" w:rsidRPr="00C2277D" w:rsidRDefault="00746DFD">
            <w:pPr>
              <w:rPr>
                <w:sz w:val="19"/>
              </w:rPr>
            </w:pPr>
            <w:r w:rsidRPr="00C2277D">
              <w:rPr>
                <w:sz w:val="19"/>
                <w:szCs w:val="18"/>
              </w:rPr>
              <w:t xml:space="preserve">Researchers in education and social sciences are finding new ways to combat discrimination and bullying in elementary schools. Research like this helps to </w:t>
            </w:r>
            <w:r w:rsidRPr="00C2277D">
              <w:rPr>
                <w:b/>
                <w:sz w:val="19"/>
                <w:szCs w:val="18"/>
              </w:rPr>
              <w:t>keep Canadian kids safer</w:t>
            </w:r>
            <w:r w:rsidRPr="00C2277D">
              <w:rPr>
                <w:sz w:val="19"/>
                <w:szCs w:val="18"/>
              </w:rPr>
              <w:t xml:space="preserve"> now and builds a </w:t>
            </w:r>
            <w:r w:rsidRPr="00C2277D">
              <w:rPr>
                <w:b/>
                <w:sz w:val="19"/>
                <w:szCs w:val="18"/>
              </w:rPr>
              <w:t>better Canada for the future</w:t>
            </w:r>
            <w:r w:rsidRPr="00C2277D">
              <w:rPr>
                <w:sz w:val="19"/>
                <w:szCs w:val="18"/>
              </w:rPr>
              <w:t>.</w:t>
            </w:r>
          </w:p>
        </w:tc>
      </w:tr>
      <w:tr w:rsidR="001745DE" w14:paraId="50440404" w14:textId="77777777">
        <w:trPr>
          <w:trHeight w:val="42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DF80D" w14:textId="1907F2F3" w:rsidR="001745DE" w:rsidRDefault="00746DFD">
            <w:pPr>
              <w:spacing w:line="240" w:lineRule="auto"/>
              <w:jc w:val="center"/>
              <w:rPr>
                <w:color w:val="980000"/>
              </w:rPr>
            </w:pPr>
            <w:r>
              <w:rPr>
                <w:b/>
              </w:rPr>
              <w:t xml:space="preserve">Thank you for supporting </w:t>
            </w:r>
            <w:r w:rsidR="00F30640">
              <w:rPr>
                <w:b/>
              </w:rPr>
              <w:t>fundamental</w:t>
            </w:r>
            <w:r>
              <w:rPr>
                <w:b/>
              </w:rPr>
              <w:t xml:space="preserve"> research in Canada.</w:t>
            </w:r>
            <w:r w:rsidR="000049E9">
              <w:rPr>
                <w:b/>
              </w:rPr>
              <w:t xml:space="preserve"> </w:t>
            </w:r>
            <w:r>
              <w:rPr>
                <w:b/>
                <w:color w:val="980000"/>
              </w:rPr>
              <w:t>#summerofscienceCAN</w:t>
            </w:r>
          </w:p>
          <w:p w14:paraId="2D41CC36" w14:textId="77777777" w:rsidR="001745DE" w:rsidRDefault="001745DE">
            <w:pPr>
              <w:spacing w:line="240" w:lineRule="auto"/>
            </w:pPr>
          </w:p>
        </w:tc>
      </w:tr>
      <w:tr w:rsidR="001745DE" w14:paraId="25D56084" w14:textId="77777777">
        <w:trPr>
          <w:trHeight w:val="42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AE378" w14:textId="77777777" w:rsidR="001745DE" w:rsidRDefault="001745DE">
            <w:pPr>
              <w:widowControl w:val="0"/>
              <w:spacing w:line="240" w:lineRule="auto"/>
              <w:jc w:val="center"/>
              <w:rPr>
                <w:color w:val="980000"/>
                <w:sz w:val="28"/>
                <w:szCs w:val="28"/>
              </w:rPr>
            </w:pPr>
          </w:p>
        </w:tc>
      </w:tr>
    </w:tbl>
    <w:p w14:paraId="05E46D57" w14:textId="77777777" w:rsidR="001745DE" w:rsidRDefault="00746DFD">
      <w:pPr>
        <w:rPr>
          <w:b/>
        </w:rPr>
      </w:pPr>
      <w:r>
        <w:rPr>
          <w:b/>
        </w:rPr>
        <w:t>References</w:t>
      </w:r>
    </w:p>
    <w:p w14:paraId="3100914E" w14:textId="243D61F5" w:rsidR="008451D3" w:rsidRDefault="008451D3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 w:rsidRPr="008451D3">
        <w:rPr>
          <w:rFonts w:ascii="Calibri" w:eastAsia="Calibri" w:hAnsi="Calibri" w:cs="Calibri"/>
          <w:sz w:val="24"/>
          <w:szCs w:val="24"/>
        </w:rPr>
        <w:t xml:space="preserve">Weinberg BA, Owen-Smith J, Rosen RF, Schwarz L, Allen BM, Weiss RE, et al. Research funding. Science funding and short-term economic activity. </w:t>
      </w:r>
      <w:r w:rsidRPr="008451D3">
        <w:rPr>
          <w:rFonts w:ascii="Calibri" w:eastAsia="Calibri" w:hAnsi="Calibri" w:cs="Calibri"/>
          <w:i/>
          <w:sz w:val="24"/>
          <w:szCs w:val="24"/>
        </w:rPr>
        <w:t>Science</w:t>
      </w:r>
      <w:r w:rsidRPr="008451D3">
        <w:rPr>
          <w:rFonts w:ascii="Calibri" w:eastAsia="Calibri" w:hAnsi="Calibri" w:cs="Calibri"/>
          <w:sz w:val="24"/>
          <w:szCs w:val="24"/>
        </w:rPr>
        <w:t>. 2014;344: 41–43.</w:t>
      </w:r>
    </w:p>
    <w:p w14:paraId="27435DBA" w14:textId="77777777" w:rsidR="001745DE" w:rsidRDefault="00746DFD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Goldschlag N, Bianchini S, Lane J, Sanmartín Sola J, Weinberg B. Research Funding and Regional Economies. </w:t>
      </w:r>
      <w:r>
        <w:rPr>
          <w:rFonts w:ascii="Calibri" w:eastAsia="Calibri" w:hAnsi="Calibri" w:cs="Calibri"/>
          <w:i/>
          <w:sz w:val="24"/>
          <w:szCs w:val="24"/>
        </w:rPr>
        <w:t>National Bureau of Economic Research</w:t>
      </w:r>
      <w:r>
        <w:rPr>
          <w:rFonts w:ascii="Calibri" w:eastAsia="Calibri" w:hAnsi="Calibri" w:cs="Calibri"/>
          <w:sz w:val="24"/>
          <w:szCs w:val="24"/>
        </w:rPr>
        <w:t>. January 2017: NBER Working Paper No. 23018; JEL No. O31, R1.</w:t>
      </w:r>
    </w:p>
    <w:p w14:paraId="5E6F681C" w14:textId="77777777" w:rsidR="001745DE" w:rsidRDefault="00746DFD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Macilwain C. Science economics: What science is really worth. </w:t>
      </w:r>
      <w:r>
        <w:rPr>
          <w:rFonts w:ascii="Calibri" w:eastAsia="Calibri" w:hAnsi="Calibri" w:cs="Calibri"/>
          <w:i/>
          <w:sz w:val="24"/>
          <w:szCs w:val="24"/>
        </w:rPr>
        <w:t>Nature</w:t>
      </w:r>
      <w:r>
        <w:rPr>
          <w:rFonts w:ascii="Calibri" w:eastAsia="Calibri" w:hAnsi="Calibri" w:cs="Calibri"/>
          <w:sz w:val="24"/>
          <w:szCs w:val="24"/>
        </w:rPr>
        <w:t>. 2010: 682–684.</w:t>
      </w:r>
    </w:p>
    <w:p w14:paraId="72F9D535" w14:textId="77777777" w:rsidR="001745DE" w:rsidRDefault="00746DFD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Umbach, T. The Economic Impact of Canada’s Faculties of Medicine and Health Science Partners. </w:t>
      </w:r>
      <w:r>
        <w:rPr>
          <w:rFonts w:ascii="Calibri" w:eastAsia="Calibri" w:hAnsi="Calibri" w:cs="Calibri"/>
          <w:i/>
          <w:sz w:val="24"/>
          <w:szCs w:val="24"/>
        </w:rPr>
        <w:t>The Association of the Faculties of Medicine of Canada</w:t>
      </w:r>
      <w:r>
        <w:rPr>
          <w:rFonts w:ascii="Calibri" w:eastAsia="Calibri" w:hAnsi="Calibri" w:cs="Calibri"/>
          <w:sz w:val="24"/>
          <w:szCs w:val="24"/>
        </w:rPr>
        <w:t xml:space="preserve">, p.8. 2014. Available: </w:t>
      </w:r>
      <w:hyperlink r:id="rId7">
        <w:r>
          <w:rPr>
            <w:rFonts w:ascii="Calibri" w:eastAsia="Calibri" w:hAnsi="Calibri" w:cs="Calibri"/>
            <w:sz w:val="24"/>
            <w:szCs w:val="24"/>
          </w:rPr>
          <w:t>afmc.ca/pdf/Economic_Impact_Study_Report_FINAL_EN.pdf</w:t>
        </w:r>
      </w:hyperlink>
      <w:r>
        <w:rPr>
          <w:rFonts w:ascii="Calibri" w:eastAsia="Calibri" w:hAnsi="Calibri" w:cs="Calibri"/>
          <w:sz w:val="24"/>
          <w:szCs w:val="24"/>
        </w:rPr>
        <w:t xml:space="preserve"> [accessed May 19, 2017]</w:t>
      </w:r>
    </w:p>
    <w:p w14:paraId="757546B1" w14:textId="77777777" w:rsidR="001745DE" w:rsidRDefault="00746DFD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 Oliveira C, Nguyen HV, Wijeysundera HC, Wong WWL, Woo G, Grootendorst P, et al. Estimating the payoffs from cardiovascular disease research in Canada: an economic analysis. </w:t>
      </w:r>
      <w:r>
        <w:rPr>
          <w:rFonts w:ascii="Calibri" w:eastAsia="Calibri" w:hAnsi="Calibri" w:cs="Calibri"/>
          <w:i/>
          <w:sz w:val="24"/>
          <w:szCs w:val="24"/>
        </w:rPr>
        <w:t>CMAJ Open</w:t>
      </w:r>
      <w:r>
        <w:rPr>
          <w:rFonts w:ascii="Calibri" w:eastAsia="Calibri" w:hAnsi="Calibri" w:cs="Calibri"/>
          <w:sz w:val="24"/>
          <w:szCs w:val="24"/>
        </w:rPr>
        <w:t>. 2013;1: E83–90.</w:t>
      </w:r>
    </w:p>
    <w:p w14:paraId="2F25D8A2" w14:textId="77777777" w:rsidR="001745DE" w:rsidRDefault="00746DFD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Naylor CD, Birgeneau RJ, Crago M, Lazaridis M, Malacrida C, McDonald AB, Piper MC, Quirion R, Wilson A. Investing in Canada’s Future: Strengthening the Foundations of Canadian Research. </w:t>
      </w:r>
      <w:r w:rsidRPr="00822426">
        <w:rPr>
          <w:rFonts w:ascii="Calibri" w:eastAsia="Calibri" w:hAnsi="Calibri" w:cs="Calibri"/>
          <w:i/>
          <w:sz w:val="24"/>
          <w:szCs w:val="24"/>
        </w:rPr>
        <w:t>Government of Canada</w:t>
      </w:r>
      <w:r>
        <w:rPr>
          <w:rFonts w:ascii="Calibri" w:eastAsia="Calibri" w:hAnsi="Calibri" w:cs="Calibri"/>
          <w:sz w:val="24"/>
          <w:szCs w:val="24"/>
        </w:rPr>
        <w:t xml:space="preserve">, p.13. 2017. Available: </w:t>
      </w:r>
      <w:hyperlink r:id="rId8">
        <w:r>
          <w:rPr>
            <w:rFonts w:ascii="Calibri" w:eastAsia="Calibri" w:hAnsi="Calibri" w:cs="Calibri"/>
            <w:sz w:val="24"/>
            <w:szCs w:val="24"/>
          </w:rPr>
          <w:t>sciencereview.ca/eic/site/059.nsf/eng/home</w:t>
        </w:r>
      </w:hyperlink>
      <w:r>
        <w:rPr>
          <w:rFonts w:ascii="Calibri" w:eastAsia="Calibri" w:hAnsi="Calibri" w:cs="Calibri"/>
          <w:sz w:val="24"/>
          <w:szCs w:val="24"/>
        </w:rPr>
        <w:t xml:space="preserve"> [accessed May 19, 2017]</w:t>
      </w:r>
    </w:p>
    <w:p w14:paraId="59F47AB8" w14:textId="77777777" w:rsidR="001745DE" w:rsidRDefault="001745DE">
      <w:pPr>
        <w:rPr>
          <w:rFonts w:ascii="Calibri" w:eastAsia="Calibri" w:hAnsi="Calibri" w:cs="Calibri"/>
          <w:sz w:val="24"/>
          <w:szCs w:val="24"/>
        </w:rPr>
      </w:pPr>
    </w:p>
    <w:p w14:paraId="1314C3B5" w14:textId="77777777" w:rsidR="001745DE" w:rsidRDefault="00746DF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Brief prepared by the Association of Canadian Early Career Health Researchers (ACECHR: acechr.ca) and distributed freely as an editable document.</w:t>
      </w:r>
    </w:p>
    <w:p w14:paraId="1EA4A895" w14:textId="77777777" w:rsidR="001745DE" w:rsidRDefault="001745DE">
      <w:pPr>
        <w:rPr>
          <w:rFonts w:ascii="Calibri" w:eastAsia="Calibri" w:hAnsi="Calibri" w:cs="Calibri"/>
          <w:sz w:val="24"/>
          <w:szCs w:val="24"/>
        </w:rPr>
      </w:pPr>
    </w:p>
    <w:p w14:paraId="2DE42DF4" w14:textId="028786E6" w:rsidR="001745DE" w:rsidRDefault="00746DF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ACECHR Campaign Committee</w:t>
      </w:r>
      <w:r w:rsidR="009108D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D649C5">
        <w:rPr>
          <w:rFonts w:ascii="Calibri" w:eastAsia="Calibri" w:hAnsi="Calibri" w:cs="Calibri"/>
          <w:b/>
          <w:sz w:val="24"/>
          <w:szCs w:val="24"/>
        </w:rPr>
        <w:t xml:space="preserve">Members </w:t>
      </w:r>
      <w:r w:rsidR="009108D8">
        <w:rPr>
          <w:rFonts w:ascii="Calibri" w:eastAsia="Calibri" w:hAnsi="Calibri" w:cs="Calibri"/>
          <w:b/>
          <w:sz w:val="24"/>
          <w:szCs w:val="24"/>
        </w:rPr>
        <w:t>&amp; Advisors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14:paraId="25C3AA9B" w14:textId="77777777" w:rsidR="001745DE" w:rsidRDefault="00746DF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Holly Witteman, PhD, Université Laval (lead)</w:t>
      </w:r>
    </w:p>
    <w:p w14:paraId="5E74C24A" w14:textId="77777777" w:rsidR="001745DE" w:rsidRDefault="00746DF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Andrew Pruszynski, PhD, Western University</w:t>
      </w:r>
    </w:p>
    <w:p w14:paraId="404E83C0" w14:textId="77777777" w:rsidR="001745DE" w:rsidRDefault="00746DF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Elizabeth Rideout, PhD, University of British Columbia</w:t>
      </w:r>
    </w:p>
    <w:p w14:paraId="1F2121B0" w14:textId="77777777" w:rsidR="001745DE" w:rsidRDefault="00746DF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Kristin Connor, PhD, Carleton University</w:t>
      </w:r>
    </w:p>
    <w:p w14:paraId="5516149C" w14:textId="77777777" w:rsidR="001745DE" w:rsidRDefault="00746DF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Patrice Brassard, PhD, Université Laval</w:t>
      </w:r>
    </w:p>
    <w:p w14:paraId="4B217CF0" w14:textId="77777777" w:rsidR="001745DE" w:rsidRDefault="00746DF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Meghan Azad, PhD, University of Manitoba</w:t>
      </w:r>
    </w:p>
    <w:p w14:paraId="5EC2DBFA" w14:textId="77777777" w:rsidR="001745DE" w:rsidRDefault="00746DF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Michael Hendricks, PhD, McGill University</w:t>
      </w:r>
    </w:p>
    <w:p w14:paraId="747DE906" w14:textId="77777777" w:rsidR="001745DE" w:rsidRDefault="00746DF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Michael Hoffman, PhD, University of Toronto</w:t>
      </w:r>
    </w:p>
    <w:p w14:paraId="1D6177E7" w14:textId="77777777" w:rsidR="001745DE" w:rsidRDefault="00746DF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Rithwik Ramachandran, PhD, Western University</w:t>
      </w:r>
    </w:p>
    <w:p w14:paraId="3F41A1F9" w14:textId="77777777" w:rsidR="001745DE" w:rsidRDefault="00746DF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Simon Hirota, PhD, University of Calgary</w:t>
      </w:r>
    </w:p>
    <w:p w14:paraId="4E769202" w14:textId="1B6A3557" w:rsidR="001745DE" w:rsidRDefault="00070C99" w:rsidP="00E7508B">
      <w:r>
        <w:rPr>
          <w:rFonts w:ascii="Calibri" w:eastAsia="Calibri" w:hAnsi="Calibri" w:cs="Calibri"/>
          <w:sz w:val="24"/>
          <w:szCs w:val="24"/>
        </w:rPr>
        <w:t>Steven Kerfoot, PhD, Western University</w:t>
      </w:r>
    </w:p>
    <w:p w14:paraId="35CC4805" w14:textId="77777777" w:rsidR="001745DE" w:rsidRDefault="001745DE"/>
    <w:sectPr w:rsidR="001745DE"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Holly Witteman" w:date="2017-05-21T00:17:00Z" w:initials="HW">
    <w:p w14:paraId="2DB05717" w14:textId="77777777" w:rsidR="008211F9" w:rsidRDefault="006E7C17" w:rsidP="00905CED">
      <w:pPr>
        <w:pStyle w:val="CommentText"/>
      </w:pPr>
      <w:r>
        <w:rPr>
          <w:rStyle w:val="CommentReference"/>
        </w:rPr>
        <w:annotationRef/>
      </w:r>
      <w:r>
        <w:t>Examples</w:t>
      </w:r>
      <w:r w:rsidR="00905CED">
        <w:t>:</w:t>
      </w:r>
    </w:p>
    <w:p w14:paraId="41EEF4D5" w14:textId="27D8945B" w:rsidR="00905CED" w:rsidRPr="008211F9" w:rsidRDefault="008211F9" w:rsidP="00905CED">
      <w:pPr>
        <w:pStyle w:val="CommentText"/>
        <w:rPr>
          <w:lang w:val="en-CA"/>
        </w:rPr>
      </w:pPr>
      <w:r>
        <w:t xml:space="preserve">Hamilton: </w:t>
      </w:r>
      <w:r w:rsidRPr="008211F9">
        <w:rPr>
          <w:lang w:val="en-CA"/>
        </w:rPr>
        <w:t>Duke Electric, Hamilton Hydronics</w:t>
      </w:r>
      <w:r w:rsidR="006E7C17">
        <w:br/>
      </w:r>
      <w:r w:rsidR="00905CED">
        <w:t xml:space="preserve">London: </w:t>
      </w:r>
      <w:r w:rsidRPr="008211F9">
        <w:t>Trudell, Ceresensa, Neuronitek</w:t>
      </w:r>
    </w:p>
    <w:p w14:paraId="4ACFEA80" w14:textId="5FF7FC12" w:rsidR="001D4B84" w:rsidRPr="00475714" w:rsidRDefault="006E7C17">
      <w:pPr>
        <w:pStyle w:val="CommentText"/>
        <w:rPr>
          <w:lang w:val="fr-FR"/>
        </w:rPr>
      </w:pPr>
      <w:r w:rsidRPr="00475714">
        <w:rPr>
          <w:lang w:val="fr-FR"/>
        </w:rPr>
        <w:t>Vancouver: STEMCELL</w:t>
      </w:r>
      <w:r w:rsidR="00BA3948" w:rsidRPr="00475714">
        <w:rPr>
          <w:lang w:val="fr-FR"/>
        </w:rPr>
        <w:t xml:space="preserve"> Technologies Inc.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CFEA8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43884"/>
    <w:multiLevelType w:val="multilevel"/>
    <w:tmpl w:val="B6C2AE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B5931A7"/>
    <w:multiLevelType w:val="multilevel"/>
    <w:tmpl w:val="0F800C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65CC141E"/>
    <w:multiLevelType w:val="multilevel"/>
    <w:tmpl w:val="D34A606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F9868E2"/>
    <w:multiLevelType w:val="multilevel"/>
    <w:tmpl w:val="F98C0D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lly Witteman">
    <w15:presenceInfo w15:providerId="None" w15:userId="Holly Witte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DE"/>
    <w:rsid w:val="000049E9"/>
    <w:rsid w:val="0003683E"/>
    <w:rsid w:val="00070C99"/>
    <w:rsid w:val="000F251E"/>
    <w:rsid w:val="00123AD4"/>
    <w:rsid w:val="001265F5"/>
    <w:rsid w:val="001323A0"/>
    <w:rsid w:val="00156F9E"/>
    <w:rsid w:val="00160928"/>
    <w:rsid w:val="001745DE"/>
    <w:rsid w:val="001C3F4E"/>
    <w:rsid w:val="001D4B84"/>
    <w:rsid w:val="00303EDB"/>
    <w:rsid w:val="00344CFD"/>
    <w:rsid w:val="003B69BE"/>
    <w:rsid w:val="003E7E94"/>
    <w:rsid w:val="00431531"/>
    <w:rsid w:val="00463EDD"/>
    <w:rsid w:val="00475714"/>
    <w:rsid w:val="004947F9"/>
    <w:rsid w:val="004D4982"/>
    <w:rsid w:val="00502F36"/>
    <w:rsid w:val="00530AB8"/>
    <w:rsid w:val="005F4EEA"/>
    <w:rsid w:val="00630381"/>
    <w:rsid w:val="00694D0B"/>
    <w:rsid w:val="006C3DE9"/>
    <w:rsid w:val="006E6ADC"/>
    <w:rsid w:val="006E7C17"/>
    <w:rsid w:val="00727E98"/>
    <w:rsid w:val="00746DFD"/>
    <w:rsid w:val="007744DC"/>
    <w:rsid w:val="007B3969"/>
    <w:rsid w:val="007E3E86"/>
    <w:rsid w:val="008127CD"/>
    <w:rsid w:val="008211F9"/>
    <w:rsid w:val="00822426"/>
    <w:rsid w:val="008425F1"/>
    <w:rsid w:val="008451D3"/>
    <w:rsid w:val="00905CED"/>
    <w:rsid w:val="009108D8"/>
    <w:rsid w:val="00915BCB"/>
    <w:rsid w:val="00921F1A"/>
    <w:rsid w:val="00981831"/>
    <w:rsid w:val="009A660F"/>
    <w:rsid w:val="009C6D48"/>
    <w:rsid w:val="009E06F7"/>
    <w:rsid w:val="00A00A1F"/>
    <w:rsid w:val="00A13D51"/>
    <w:rsid w:val="00A62A3F"/>
    <w:rsid w:val="00A64AC0"/>
    <w:rsid w:val="00A82684"/>
    <w:rsid w:val="00B13B47"/>
    <w:rsid w:val="00B60C67"/>
    <w:rsid w:val="00BA3948"/>
    <w:rsid w:val="00C16B16"/>
    <w:rsid w:val="00C2277D"/>
    <w:rsid w:val="00CC52E4"/>
    <w:rsid w:val="00D15555"/>
    <w:rsid w:val="00D47A52"/>
    <w:rsid w:val="00D649C5"/>
    <w:rsid w:val="00D74879"/>
    <w:rsid w:val="00E01A53"/>
    <w:rsid w:val="00E1481B"/>
    <w:rsid w:val="00E51C12"/>
    <w:rsid w:val="00E727F9"/>
    <w:rsid w:val="00E7508B"/>
    <w:rsid w:val="00E86922"/>
    <w:rsid w:val="00E95BF3"/>
    <w:rsid w:val="00EB7C34"/>
    <w:rsid w:val="00F02965"/>
    <w:rsid w:val="00F30640"/>
    <w:rsid w:val="00F43EF2"/>
    <w:rsid w:val="00F95420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9BA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6E7C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E7C1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7C1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C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C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C1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C1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451D3"/>
    <w:pPr>
      <w:ind w:left="720"/>
      <w:contextualSpacing/>
    </w:pPr>
  </w:style>
  <w:style w:type="paragraph" w:styleId="Revision">
    <w:name w:val="Revision"/>
    <w:hidden/>
    <w:uiPriority w:val="99"/>
    <w:semiHidden/>
    <w:rsid w:val="00463ED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5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review.ca/eic/site/059.nsf/eng/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fmc.ca/pdf/Economic_Impact_Study_Report_FINAL_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945</Words>
  <Characters>5391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Grosenick</dc:creator>
  <cp:lastModifiedBy>Gina Grosenick</cp:lastModifiedBy>
  <cp:revision>2</cp:revision>
  <dcterms:created xsi:type="dcterms:W3CDTF">2017-07-18T12:31:00Z</dcterms:created>
  <dcterms:modified xsi:type="dcterms:W3CDTF">2017-07-18T12:31:00Z</dcterms:modified>
</cp:coreProperties>
</file>